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D3A1E" w14:textId="77777777" w:rsidR="006713A8" w:rsidRPr="00B46E79" w:rsidRDefault="006713A8" w:rsidP="006713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  <w:r w:rsidRPr="00B46E79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t>Специфика подбора и использования дидактического материала на логопедических занятиях коррекционно-развивающего цикла с обучающимися с ОВЗ.</w:t>
      </w:r>
    </w:p>
    <w:p w14:paraId="2A6B5A8E" w14:textId="77777777" w:rsidR="006713A8" w:rsidRPr="006713A8" w:rsidRDefault="006713A8" w:rsidP="00671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231B038D" w14:textId="77777777" w:rsidR="00B46E79" w:rsidRDefault="006713A8" w:rsidP="00B46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6713A8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Басова С.А., </w:t>
      </w:r>
    </w:p>
    <w:p w14:paraId="3A928BE3" w14:textId="5021287C" w:rsidR="006713A8" w:rsidRPr="006713A8" w:rsidRDefault="006713A8" w:rsidP="00B46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6713A8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учитель-логопед</w:t>
      </w:r>
      <w:r w:rsidR="00B46E79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, 1КК</w:t>
      </w:r>
    </w:p>
    <w:p w14:paraId="3D1EE3A0" w14:textId="77777777" w:rsidR="00B46E79" w:rsidRDefault="006713A8" w:rsidP="00671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proofErr w:type="spellStart"/>
      <w:r w:rsidRPr="006713A8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Письмерова</w:t>
      </w:r>
      <w:proofErr w:type="spellEnd"/>
      <w:r w:rsidRPr="006713A8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Ю.Н., </w:t>
      </w:r>
    </w:p>
    <w:p w14:paraId="230D4D92" w14:textId="5E63FE47" w:rsidR="006713A8" w:rsidRPr="006713A8" w:rsidRDefault="006713A8" w:rsidP="00671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6713A8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учитель-логопед</w:t>
      </w:r>
    </w:p>
    <w:p w14:paraId="5065A62A" w14:textId="77777777" w:rsidR="006713A8" w:rsidRPr="006713A8" w:rsidRDefault="006713A8" w:rsidP="00671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6713A8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МАОУ 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– </w:t>
      </w:r>
      <w:r w:rsidRPr="006713A8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СОШ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6713A8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6713A8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7</w:t>
      </w:r>
    </w:p>
    <w:p w14:paraId="66A48813" w14:textId="77777777" w:rsidR="006713A8" w:rsidRPr="006713A8" w:rsidRDefault="006713A8" w:rsidP="00671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</w:p>
    <w:p w14:paraId="5105338B" w14:textId="645E9899" w:rsidR="006713A8" w:rsidRDefault="006713A8" w:rsidP="00671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>Современная действительность предлагает детям разнообразие развлечений и возможностей получения новых знаний, предоставляемых цифровыми технологиями. Это позволяет</w:t>
      </w:r>
      <w:r w:rsidR="006C6A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формировать целостную картину окружающего мира, поскольку цифровые технологии </w:t>
      </w:r>
      <w:bookmarkStart w:id="0" w:name="_GoBack"/>
      <w:bookmarkEnd w:id="0"/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создают ребенку условия, в которых можно буквально увидеть вызывающий интерес объект, изучаемый предмет, явление или событие, его строение, его изменения, фазы его развития, протяженные во времени. </w:t>
      </w:r>
    </w:p>
    <w:p w14:paraId="4F9731E3" w14:textId="77777777" w:rsidR="006713A8" w:rsidRPr="006713A8" w:rsidRDefault="006713A8" w:rsidP="00671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>Однако, многие учебные навыки, необходимые школьнику, а особенно ученику младших классов, такие как транскрибирование, определение и различение фонемы звучащего слова, анализирование звучащей речи на уровне звука, слова и предложения, во многом зависят от сформированности слухоречевого сосредоточения и внимания, которые, в свою очередь, опираются на аудиальную сенсорную систему восприятия информации и использует визуальную сенсорную систему, скорее, как вспомогательную. Такая ситуация, порой, вызывает определенную проблематику в освоении учебного материала, поскольку для того, чтобы качество чтения, письма под диктовку было высоким, необходимо “хорошо слышать”, но в связи с чрезмерным просмотром множества видеороликов, анимационных сюжетов, ярких, сменяющих друг друга картинок и иных продуктов цифровых технологий, у обучающихся развивается навык “хорошо видеть”.</w:t>
      </w:r>
    </w:p>
    <w:p w14:paraId="7661BBDC" w14:textId="77777777" w:rsidR="006713A8" w:rsidRDefault="006713A8" w:rsidP="00671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Особенно трудно в такой ситуации приходится детям с ограниченными возможностями здоровья, в частности, детям с тяжелыми нарушениями речи и детям с задержкой психического развития, поскольку особенностями функционирования высших психических процессов таких детей, являются высокая истощаемость, низкая концентрация произвольного внимания, недостаточный, по сравнению с </w:t>
      </w:r>
      <w:proofErr w:type="spellStart"/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>нормотипичными</w:t>
      </w:r>
      <w:proofErr w:type="spellEnd"/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детьми, уровень развития слухоречевой памяти, недостаточно сформированный навык аналитико-синтетической деятельности и других операций мышления, что не позволяет обучающимся с ОВЗ осваивать общеобразовательную программу в полном объеме. </w:t>
      </w:r>
    </w:p>
    <w:p w14:paraId="1E70E46E" w14:textId="7AC9C3E7" w:rsidR="006713A8" w:rsidRPr="006713A8" w:rsidRDefault="006713A8" w:rsidP="00671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рамках адапти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рован</w:t>
      </w:r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ной общеобразовательной программы перед нами, учителями-логопедами, встает проблема компенсации ограничений в освоении учебного материала и развитии всех компонентов языковых и речевых средств обучающегося: лексико-грамматической строя речи, связной речи, правильного звукопроизношения. Следовательно, одной из основных задач, стоящих перед нами, является подбор и использование таких дидактических материалов, которые, во-первых, позволяли бы использовать аудиальные каналы восприятия в большей мере, чем визуальные, что повышало бы качество и продолжительность слухового сосредоточения и увеличивало бы </w:t>
      </w:r>
      <w:r w:rsidR="006C6A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объем </w:t>
      </w:r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>слухоречевой памяти, а во-вторых, были бы настолько интересными для обучающихся, что способствовали бы развитию произвольности высших психических функций, повышению качества аналитико-</w:t>
      </w:r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синтетической деятельности, что напрямую влияло бы на развитие таких сложных психических процессов как чтение и письмо.</w:t>
      </w:r>
    </w:p>
    <w:p w14:paraId="6BF80D06" w14:textId="77777777" w:rsidR="006713A8" w:rsidRPr="006713A8" w:rsidRDefault="006713A8" w:rsidP="00671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>Для решения этой задачи нами была создана картотека упражнений и дидактических игр, которые мы используем на логопедических занятиях коррекционно-развивающего цикла. Мы говорим об играх в первую очередь, поскольку важно отметить, что занятия коррекционно-развивающего цикла проводятся после уроков, и мотивация к учебной деятельности у обучающихся с ОВЗ, в силу объективных причин, снижена, поэтому использование игры на уроке способствует активизации мотивационного компонента учебной деятельности. Но “игра” — это только название для той обучающей процедуры, которую мы осуществляем на логопедических занятиях, поскольку игры, используемые нами, имеют четкие образовательные задачи. Вот некоторые из них:</w:t>
      </w:r>
    </w:p>
    <w:p w14:paraId="2618A0CF" w14:textId="77777777" w:rsidR="006713A8" w:rsidRPr="006713A8" w:rsidRDefault="006713A8" w:rsidP="00671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>“Спаси безударную” (</w:t>
      </w:r>
      <w:proofErr w:type="spellStart"/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>Барчан</w:t>
      </w:r>
      <w:proofErr w:type="spellEnd"/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Т.) - домино на отработку навыка подбирать проверку к словам с проверяемыми безударными гласными;</w:t>
      </w:r>
    </w:p>
    <w:p w14:paraId="19DDE1F8" w14:textId="77777777" w:rsidR="006713A8" w:rsidRPr="006713A8" w:rsidRDefault="006713A8" w:rsidP="00671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>“Зри в корень” (Гурьянова М.) - грамматическое домино для отработки навыка подбора родственных слов и развития определения общности лексического значения;</w:t>
      </w:r>
    </w:p>
    <w:p w14:paraId="7032A67B" w14:textId="77777777" w:rsidR="006713A8" w:rsidRPr="006713A8" w:rsidRDefault="006713A8" w:rsidP="00671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>“Орфографический фоторобот” (</w:t>
      </w:r>
      <w:proofErr w:type="spellStart"/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>Барчан</w:t>
      </w:r>
      <w:proofErr w:type="spellEnd"/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Т.) - отработка навыка подбора проверки к словам с глухим согласным звуком на конце;</w:t>
      </w:r>
    </w:p>
    <w:p w14:paraId="6229B025" w14:textId="77777777" w:rsidR="006713A8" w:rsidRPr="006713A8" w:rsidRDefault="006713A8" w:rsidP="00671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>“</w:t>
      </w:r>
      <w:proofErr w:type="spellStart"/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>Чтениум</w:t>
      </w:r>
      <w:proofErr w:type="spellEnd"/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>” (Мазина В.) - многофункциональные карточки для автоматизации навыка чтения слияний и слогов, для расширения полей зрения;</w:t>
      </w:r>
    </w:p>
    <w:p w14:paraId="74577832" w14:textId="77777777" w:rsidR="006713A8" w:rsidRPr="006713A8" w:rsidRDefault="006713A8" w:rsidP="00671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>“Словарь антонимов” и “Словарь синонимов” - парные карточки по типу “</w:t>
      </w:r>
      <w:proofErr w:type="spellStart"/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>мемори</w:t>
      </w:r>
      <w:proofErr w:type="spellEnd"/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>”, способствуют развитию понятийного словаря и уточнению знаний о лексическом значении слова.</w:t>
      </w:r>
    </w:p>
    <w:p w14:paraId="5AAB0090" w14:textId="77777777" w:rsidR="006713A8" w:rsidRPr="006713A8" w:rsidRDefault="006713A8" w:rsidP="00671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>Кроме того, мы используем карточки с ребусами для работы со словарными словами, несколько вариантов игры “</w:t>
      </w:r>
      <w:proofErr w:type="spellStart"/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>Дуббль</w:t>
      </w:r>
      <w:proofErr w:type="spellEnd"/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>” для развития произвольности внимания и восприятия, что в дальнейшем способствует развитию орфографической зоркости, разнообразные карточки-задания из серии “IQ”, которые позволяют закреплять некоторые орфограммы, изучаемые на уроках русского языка. Использование игры на занятиях позволяет нам сместить акценты с прямого руководства и инструктирования учителем, к самостоятельному контролю за совместной деятельностью, что помогает обучающимся, при необходимости, своевременно обращаться как к правилам игры, так и к поиску нужных орфограмм. Совместная игра, в парах или в группе, дисциплинирует игроков и приучает их организовывать свою деятельность в соответствии с требованиями. Это соблюдение правил и инструкций в широком смысле, приучает обучающегося к внутреннему контролю собственных действий, что крайне необходимо для осуществления грамотного письма и выполнения иных учебных заданий.</w:t>
      </w:r>
    </w:p>
    <w:p w14:paraId="6D416B74" w14:textId="77777777" w:rsidR="006713A8" w:rsidRPr="006713A8" w:rsidRDefault="006713A8" w:rsidP="00671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>Необходимо обозначить влияние совместной игры на процессы социализации школьника, поскольку в игре важна договоренность, а это значит, что каждый игрок должен уметь формулировать пункты, по которым будет произведена игровая договоренность, выражать несогласие и протесты в социально приемлемой форме, уметь делать замечания или оказывать помощь и поддержку другим игрокам, признавать ошибки. Эффективность такого рода коммуникации напрямую зависит от уровня сформированности лексико-грамматических категорий и развития связной речи игрока-школьника. Соответственно, игра, имеющая собственные обучающие задачи, становится еще и средством, стимулирующим развитие связной речи, освоение владением коммуникативными семантическими единицами языка.</w:t>
      </w:r>
    </w:p>
    <w:p w14:paraId="01C42480" w14:textId="77777777" w:rsidR="006713A8" w:rsidRPr="006713A8" w:rsidRDefault="006713A8" w:rsidP="00671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Важно отметить, что используемые нами специфические дидактические материалы развивают у обучающихся навык анализа лексической единицы, включающий в себя несколько умений: прочитать, прислушаться, оценить, соотнести с образцом, обнаружить соответствие/несоответствие, сделать выводы. Это, в свою очередь, является стимулом для развития слухоречевого сосредоточения и внимания, необходимого в процессе письма без орфографических ошибок.</w:t>
      </w:r>
    </w:p>
    <w:p w14:paraId="5CB8F094" w14:textId="77777777" w:rsidR="002F2196" w:rsidRPr="006713A8" w:rsidRDefault="006713A8" w:rsidP="006713A8">
      <w:pPr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6713A8">
        <w:rPr>
          <w:rFonts w:ascii="Times New Roman" w:eastAsia="Times New Roman" w:hAnsi="Times New Roman" w:cs="Times New Roman"/>
          <w:color w:val="auto"/>
          <w:sz w:val="28"/>
          <w:szCs w:val="28"/>
        </w:rPr>
        <w:t>Рассмотрев некоторые особенности в работе с обучающимися, имеющими ограниченные возможности здоровья, нам необходимо помнить о необходимости подбора дидактических материалов таким образом, чтобы с одной стороны, они были не менее привлекательны, чем предлагаемые продукты цифровой среды, и позволяли бы влиять на мотивационный компонент деятельности, а с другой, решали бы коррекционные задачи, помогая школьнику в формировании навыка грамотного письма. Этому требованию отвечают дидактические игры обучающего содержания, которые мы эффективно используем в своей деятельности.</w:t>
      </w:r>
    </w:p>
    <w:sectPr w:rsidR="002F2196" w:rsidRPr="006713A8" w:rsidSect="00B46E7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3A8"/>
    <w:rsid w:val="006713A8"/>
    <w:rsid w:val="00696B5D"/>
    <w:rsid w:val="006C6AAE"/>
    <w:rsid w:val="00B46E79"/>
    <w:rsid w:val="00E5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8F0B"/>
  <w15:chartTrackingRefBased/>
  <w15:docId w15:val="{FD497950-8543-4507-9513-78457748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3A8"/>
    <w:pPr>
      <w:spacing w:line="288" w:lineRule="auto"/>
    </w:pPr>
    <w:rPr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3</cp:revision>
  <dcterms:created xsi:type="dcterms:W3CDTF">2020-03-27T04:49:00Z</dcterms:created>
  <dcterms:modified xsi:type="dcterms:W3CDTF">2020-03-27T06:17:00Z</dcterms:modified>
</cp:coreProperties>
</file>